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EE2086" w:rsidRPr="00EE2086">
        <w:rPr>
          <w:rFonts w:ascii="Tahoma" w:hAnsi="Tahoma" w:cs="Tahoma"/>
        </w:rPr>
        <w:t>Αθήνα</w:t>
      </w:r>
      <w:r w:rsidR="003B00D3">
        <w:rPr>
          <w:rFonts w:ascii="Tahoma" w:hAnsi="Tahoma" w:cs="Tahoma"/>
        </w:rPr>
        <w:t>,</w:t>
      </w:r>
      <w:r w:rsidR="00867166">
        <w:rPr>
          <w:rFonts w:ascii="Tahoma" w:hAnsi="Tahoma" w:cs="Tahoma"/>
        </w:rPr>
        <w:t xml:space="preserve"> </w:t>
      </w:r>
      <w:r w:rsidR="00E55E10">
        <w:rPr>
          <w:rFonts w:ascii="Tahoma" w:hAnsi="Tahoma" w:cs="Tahoma"/>
        </w:rPr>
        <w:t>2</w:t>
      </w:r>
      <w:r w:rsidR="004F5C0B">
        <w:rPr>
          <w:rFonts w:ascii="Tahoma" w:hAnsi="Tahoma" w:cs="Tahoma"/>
        </w:rPr>
        <w:t>3</w:t>
      </w:r>
      <w:r w:rsidR="00E55E10">
        <w:rPr>
          <w:rFonts w:ascii="Tahoma" w:hAnsi="Tahoma" w:cs="Tahoma"/>
        </w:rPr>
        <w:t>/09</w:t>
      </w:r>
      <w:r w:rsidR="00773860" w:rsidRPr="00773860">
        <w:rPr>
          <w:rFonts w:ascii="Tahoma" w:hAnsi="Tahoma" w:cs="Tahoma"/>
        </w:rPr>
        <w:t>/202</w:t>
      </w:r>
      <w:r w:rsidR="00FA2EAA">
        <w:rPr>
          <w:rFonts w:ascii="Tahoma" w:hAnsi="Tahoma" w:cs="Tahoma"/>
        </w:rPr>
        <w:t>4</w:t>
      </w:r>
    </w:p>
    <w:p w:rsidR="0066494B" w:rsidRDefault="0066494B" w:rsidP="006041B4">
      <w:pPr>
        <w:jc w:val="right"/>
        <w:rPr>
          <w:rFonts w:ascii="Tahoma" w:hAnsi="Tahoma" w:cs="Tahoma"/>
        </w:rPr>
      </w:pPr>
    </w:p>
    <w:p w:rsidR="00A30239" w:rsidRPr="007959E7" w:rsidRDefault="00A30239" w:rsidP="00A30239">
      <w:pPr>
        <w:jc w:val="center"/>
        <w:rPr>
          <w:rFonts w:ascii="Tahoma" w:hAnsi="Tahoma" w:cs="Tahoma"/>
          <w:b/>
          <w:u w:val="single"/>
        </w:rPr>
      </w:pPr>
      <w:r w:rsidRPr="007959E7">
        <w:rPr>
          <w:rFonts w:ascii="Tahoma" w:hAnsi="Tahoma" w:cs="Tahoma"/>
          <w:b/>
          <w:u w:val="single"/>
        </w:rPr>
        <w:t>Δελτίο Τύπου</w:t>
      </w:r>
    </w:p>
    <w:p w:rsidR="0066494B" w:rsidRDefault="0066494B" w:rsidP="00A30239">
      <w:pPr>
        <w:jc w:val="center"/>
        <w:rPr>
          <w:rFonts w:ascii="Tahoma" w:hAnsi="Tahoma" w:cs="Tahoma"/>
          <w:b/>
        </w:rPr>
      </w:pPr>
    </w:p>
    <w:p w:rsidR="00381424" w:rsidRDefault="004F5C0B" w:rsidP="004F5C0B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Μεσοσταθμικός</w:t>
      </w:r>
      <w:proofErr w:type="spellEnd"/>
      <w:r w:rsidRPr="004F5C0B">
        <w:rPr>
          <w:rFonts w:ascii="Tahoma" w:hAnsi="Tahoma" w:cs="Tahoma"/>
          <w:b/>
        </w:rPr>
        <w:t xml:space="preserve"> Δείκτη</w:t>
      </w:r>
      <w:r>
        <w:rPr>
          <w:rFonts w:ascii="Tahoma" w:hAnsi="Tahoma" w:cs="Tahoma"/>
          <w:b/>
        </w:rPr>
        <w:t>ς</w:t>
      </w:r>
      <w:r w:rsidRPr="004F5C0B">
        <w:rPr>
          <w:rFonts w:ascii="Tahoma" w:hAnsi="Tahoma" w:cs="Tahoma"/>
          <w:b/>
        </w:rPr>
        <w:t xml:space="preserve"> Εξομάλυνσης (ΜΔΕ).</w:t>
      </w:r>
    </w:p>
    <w:p w:rsidR="004F5C0B" w:rsidRPr="004F5C0B" w:rsidRDefault="004F5C0B" w:rsidP="004F5C0B">
      <w:pPr>
        <w:jc w:val="center"/>
        <w:rPr>
          <w:rFonts w:ascii="Tahoma" w:hAnsi="Tahoma" w:cs="Tahoma"/>
          <w:b/>
        </w:rPr>
      </w:pP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Αγαπητοί,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Η εφαρμογή του </w:t>
      </w:r>
      <w:r w:rsidRPr="004F5C0B">
        <w:rPr>
          <w:b/>
          <w:bCs/>
          <w:color w:val="222222"/>
          <w:sz w:val="28"/>
          <w:szCs w:val="28"/>
        </w:rPr>
        <w:t>ΜΔΕ</w:t>
      </w:r>
      <w:r w:rsidRPr="004F5C0B">
        <w:rPr>
          <w:color w:val="222222"/>
          <w:sz w:val="28"/>
          <w:szCs w:val="28"/>
        </w:rPr>
        <w:t> (</w:t>
      </w:r>
      <w:proofErr w:type="spellStart"/>
      <w:r w:rsidRPr="004F5C0B">
        <w:rPr>
          <w:color w:val="222222"/>
          <w:sz w:val="28"/>
          <w:szCs w:val="28"/>
        </w:rPr>
        <w:t>Μεσοσταθμικ</w:t>
      </w:r>
      <w:r>
        <w:rPr>
          <w:color w:val="222222"/>
          <w:sz w:val="28"/>
          <w:szCs w:val="28"/>
        </w:rPr>
        <w:t>ού</w:t>
      </w:r>
      <w:proofErr w:type="spellEnd"/>
      <w:r w:rsidRPr="004F5C0B">
        <w:rPr>
          <w:color w:val="222222"/>
          <w:sz w:val="28"/>
          <w:szCs w:val="28"/>
        </w:rPr>
        <w:t xml:space="preserve"> Δείκτης Εξομάλυνσης), δεν επηρεάζει σε καμία περίπτωση τον τρόπο </w:t>
      </w:r>
      <w:proofErr w:type="spellStart"/>
      <w:r w:rsidRPr="004F5C0B">
        <w:rPr>
          <w:color w:val="222222"/>
          <w:sz w:val="28"/>
          <w:szCs w:val="28"/>
        </w:rPr>
        <w:t>συνταγογράφησης</w:t>
      </w:r>
      <w:proofErr w:type="spellEnd"/>
      <w:r w:rsidRPr="004F5C0B">
        <w:rPr>
          <w:color w:val="222222"/>
          <w:sz w:val="28"/>
          <w:szCs w:val="28"/>
        </w:rPr>
        <w:t xml:space="preserve"> διαγνωστικών εξετάσεων / ιατρικών πράξεων από τους θεράποντες ιατρούς.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Το μόνο που οφείλουν να κάνουν οι θεράποντες ιατροί είναι να εκδίδουν παραπεμπτικά για διαγνωστικές εξετάσεις / ιατρικές πράξεις, σύμφωνα με τα διαγνωστικά πρωτόκολλα και τις οδηγίες του ΕΟΠΥΥ.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Ο </w:t>
      </w:r>
      <w:r w:rsidRPr="004F5C0B">
        <w:rPr>
          <w:b/>
          <w:bCs/>
          <w:color w:val="222222"/>
          <w:sz w:val="28"/>
          <w:szCs w:val="28"/>
        </w:rPr>
        <w:t>ΜΔΕ</w:t>
      </w:r>
      <w:r w:rsidRPr="004F5C0B">
        <w:rPr>
          <w:color w:val="222222"/>
          <w:sz w:val="28"/>
          <w:szCs w:val="28"/>
        </w:rPr>
        <w:t xml:space="preserve"> αφορά μόνο τους συμβεβλημένους </w:t>
      </w:r>
      <w:proofErr w:type="spellStart"/>
      <w:r w:rsidRPr="004F5C0B">
        <w:rPr>
          <w:color w:val="222222"/>
          <w:sz w:val="28"/>
          <w:szCs w:val="28"/>
        </w:rPr>
        <w:t>παρόχους</w:t>
      </w:r>
      <w:proofErr w:type="spellEnd"/>
      <w:r w:rsidRPr="004F5C0B">
        <w:rPr>
          <w:color w:val="222222"/>
          <w:sz w:val="28"/>
          <w:szCs w:val="28"/>
        </w:rPr>
        <w:t xml:space="preserve"> με τον ΕΟΠΥΥ για τη διενέργεια διαγνωστικών εξετάσεων.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>
        <w:rPr>
          <w:color w:val="222222"/>
          <w:sz w:val="28"/>
          <w:szCs w:val="28"/>
        </w:rPr>
        <w:t>Πληροφορηθήκαμε  ότι η</w:t>
      </w:r>
      <w:r w:rsidRPr="004F5C0B">
        <w:rPr>
          <w:color w:val="222222"/>
          <w:sz w:val="28"/>
          <w:szCs w:val="28"/>
        </w:rPr>
        <w:t xml:space="preserve"> νέα υπουργική απόφαση που θα εκδοθεί στη βάση βελτίωσης της υφιστάμενης (ΦΕΚ 4503/Β’ / 1-8-2024), θα αφορά τις κατηγορίες των διαγνωστικών εξετάσεων Ε1α (Εξετάσεις Βιολογικών Υλικών), Ε2β μαστογραφίες, Ε4α (Αξονικές Τομογραφίες), Ε4β (Μαγνητικές Τομογραφίες), Ε5α (</w:t>
      </w:r>
      <w:proofErr w:type="spellStart"/>
      <w:r w:rsidRPr="004F5C0B">
        <w:rPr>
          <w:color w:val="222222"/>
          <w:sz w:val="28"/>
          <w:szCs w:val="28"/>
        </w:rPr>
        <w:t>Υπέρηχα</w:t>
      </w:r>
      <w:proofErr w:type="spellEnd"/>
      <w:r w:rsidRPr="004F5C0B">
        <w:rPr>
          <w:color w:val="222222"/>
          <w:sz w:val="28"/>
          <w:szCs w:val="28"/>
        </w:rPr>
        <w:t xml:space="preserve"> Ακτινοδιαγνωστικών Εργαστηρίων), Ε5β (</w:t>
      </w:r>
      <w:proofErr w:type="spellStart"/>
      <w:r w:rsidRPr="004F5C0B">
        <w:rPr>
          <w:color w:val="222222"/>
          <w:sz w:val="28"/>
          <w:szCs w:val="28"/>
        </w:rPr>
        <w:t>Υπέρηχα</w:t>
      </w:r>
      <w:proofErr w:type="spellEnd"/>
      <w:r w:rsidRPr="004F5C0B">
        <w:rPr>
          <w:color w:val="222222"/>
          <w:sz w:val="28"/>
          <w:szCs w:val="28"/>
        </w:rPr>
        <w:t xml:space="preserve"> Λοιπών Ειδικοτήτων).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Οι κατηγορίες Ε4α και Ε4β χωρίζονται σε δύο υποκατηγορίες. Οι υποκατηγορίες Ε4α1 και Ε5α1 αφορούν </w:t>
      </w:r>
      <w:r w:rsidRPr="004F5C0B">
        <w:rPr>
          <w:color w:val="222222"/>
          <w:sz w:val="28"/>
          <w:szCs w:val="28"/>
          <w:lang w:val="en-US"/>
        </w:rPr>
        <w:t>ICD</w:t>
      </w:r>
      <w:r w:rsidRPr="004F5C0B">
        <w:rPr>
          <w:color w:val="222222"/>
          <w:sz w:val="28"/>
          <w:szCs w:val="28"/>
        </w:rPr>
        <w:t>10 ογκολογικών περιστατικών και οι υποκατηγορίες Ε4α2 και Ε5β2  όλα τα υπόλοιπα </w:t>
      </w:r>
      <w:r w:rsidRPr="004F5C0B">
        <w:rPr>
          <w:color w:val="222222"/>
          <w:sz w:val="28"/>
          <w:szCs w:val="28"/>
          <w:lang w:val="en-US"/>
        </w:rPr>
        <w:t>ICD</w:t>
      </w:r>
      <w:r w:rsidRPr="004F5C0B">
        <w:rPr>
          <w:color w:val="222222"/>
          <w:sz w:val="28"/>
          <w:szCs w:val="28"/>
        </w:rPr>
        <w:t>10 αντιστοίχως για αξονικές και μαγνητικές . Κάθε υποκατηγορία από τις ανωτέρω θα έχει διαφορετικούς </w:t>
      </w:r>
      <w:r w:rsidRPr="004F5C0B">
        <w:rPr>
          <w:b/>
          <w:bCs/>
          <w:color w:val="222222"/>
          <w:sz w:val="28"/>
          <w:szCs w:val="28"/>
        </w:rPr>
        <w:t>ΜΔΕ.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 xml:space="preserve">Οι κατηγορίες Ε5α και Ε5β χωρίζονται σε τρεις υποκατηγορίες έκαστη που είναι Ε5α1 υποκατηγορία απλών υπερηχογραφημάτων σώματος, Ε5α2 </w:t>
      </w:r>
      <w:r w:rsidRPr="004F5C0B">
        <w:rPr>
          <w:color w:val="222222"/>
          <w:sz w:val="28"/>
          <w:szCs w:val="28"/>
        </w:rPr>
        <w:lastRenderedPageBreak/>
        <w:t>υποκατηγορία </w:t>
      </w:r>
      <w:r w:rsidRPr="004F5C0B">
        <w:rPr>
          <w:color w:val="222222"/>
          <w:sz w:val="28"/>
          <w:szCs w:val="28"/>
          <w:lang w:val="en-US"/>
        </w:rPr>
        <w:t>Triplex </w:t>
      </w:r>
      <w:r w:rsidRPr="004F5C0B">
        <w:rPr>
          <w:color w:val="222222"/>
          <w:sz w:val="28"/>
          <w:szCs w:val="28"/>
        </w:rPr>
        <w:t>αγγείων φλεβών αρτηριών, Ε5α3 υποκατηγορία καρδιολογικών υπερήχων.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 xml:space="preserve">Από την κατηγορία Ε1α δεν θα </w:t>
      </w:r>
      <w:proofErr w:type="spellStart"/>
      <w:r w:rsidRPr="004F5C0B">
        <w:rPr>
          <w:color w:val="222222"/>
          <w:sz w:val="28"/>
          <w:szCs w:val="28"/>
        </w:rPr>
        <w:t>προσμετρώνται</w:t>
      </w:r>
      <w:proofErr w:type="spellEnd"/>
      <w:r w:rsidRPr="004F5C0B">
        <w:rPr>
          <w:color w:val="222222"/>
          <w:sz w:val="28"/>
          <w:szCs w:val="28"/>
        </w:rPr>
        <w:t xml:space="preserve"> στο </w:t>
      </w:r>
      <w:r w:rsidRPr="004F5C0B">
        <w:rPr>
          <w:b/>
          <w:bCs/>
          <w:color w:val="222222"/>
          <w:sz w:val="28"/>
          <w:szCs w:val="28"/>
        </w:rPr>
        <w:t>ΜΔΕ</w:t>
      </w:r>
      <w:r w:rsidRPr="004F5C0B">
        <w:rPr>
          <w:color w:val="222222"/>
          <w:sz w:val="28"/>
          <w:szCs w:val="28"/>
        </w:rPr>
        <w:t xml:space="preserve"> μία ομάδα εξετάσεων υψηλού κόστους πχ. </w:t>
      </w:r>
      <w:proofErr w:type="spellStart"/>
      <w:r w:rsidRPr="004F5C0B">
        <w:rPr>
          <w:color w:val="222222"/>
          <w:sz w:val="28"/>
          <w:szCs w:val="28"/>
        </w:rPr>
        <w:t>Καρυότυπος</w:t>
      </w:r>
      <w:proofErr w:type="spellEnd"/>
      <w:r w:rsidRPr="004F5C0B">
        <w:rPr>
          <w:color w:val="222222"/>
          <w:sz w:val="28"/>
          <w:szCs w:val="28"/>
        </w:rPr>
        <w:t xml:space="preserve"> κα.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Ο </w:t>
      </w:r>
      <w:r w:rsidRPr="004F5C0B">
        <w:rPr>
          <w:b/>
          <w:bCs/>
          <w:color w:val="222222"/>
          <w:sz w:val="28"/>
          <w:szCs w:val="28"/>
        </w:rPr>
        <w:t>ΜΔΕ</w:t>
      </w:r>
      <w:r w:rsidRPr="004F5C0B">
        <w:rPr>
          <w:color w:val="222222"/>
          <w:sz w:val="28"/>
          <w:szCs w:val="28"/>
        </w:rPr>
        <w:t> εξομάλυνσης για την κατηγορία Ε1α αναφέρεται σε ποσό. Στις κατηγορίες Ε2β, Ε4α1, Ε4α2, Ε4β1, Ε4β2, Ε5α3, Ε5β1, Ε5β2, Ε5β3, Ε5α1 και Ε5α2, σε αριθμό εξετάσεων.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Ο τρόπος εφαρμογής του </w:t>
      </w:r>
      <w:r w:rsidRPr="004F5C0B">
        <w:rPr>
          <w:b/>
          <w:bCs/>
          <w:color w:val="222222"/>
          <w:sz w:val="28"/>
          <w:szCs w:val="28"/>
        </w:rPr>
        <w:t>ΜΔΕ</w:t>
      </w:r>
      <w:r w:rsidRPr="004F5C0B">
        <w:rPr>
          <w:color w:val="222222"/>
          <w:sz w:val="28"/>
          <w:szCs w:val="28"/>
        </w:rPr>
        <w:t> σε καμία περίπτωση δεν αφορά ένα μεμονωμένο ΑΜΚΑ ή ένα μεμονωμένο παραπεμπτικό, άρα δεν είναι πλαφόν εξετάσεων για τον δικαιούχο.</w:t>
      </w:r>
    </w:p>
    <w:p w:rsidR="004F5C0B" w:rsidRDefault="004F5C0B" w:rsidP="004F5C0B">
      <w:pPr>
        <w:shd w:val="clear" w:color="auto" w:fill="FFFFFF"/>
        <w:rPr>
          <w:color w:val="222222"/>
          <w:sz w:val="28"/>
          <w:szCs w:val="28"/>
        </w:rPr>
      </w:pPr>
      <w:r w:rsidRPr="004F5C0B">
        <w:rPr>
          <w:color w:val="222222"/>
          <w:sz w:val="28"/>
          <w:szCs w:val="28"/>
        </w:rPr>
        <w:t xml:space="preserve">Αποτελεί έναν δείκτη εξομάλυνσης υπολογισμού του Μέγιστου επιτρεπόμενου ποσού υποβολής ανά </w:t>
      </w:r>
      <w:proofErr w:type="spellStart"/>
      <w:r w:rsidRPr="004F5C0B">
        <w:rPr>
          <w:color w:val="222222"/>
          <w:sz w:val="28"/>
          <w:szCs w:val="28"/>
        </w:rPr>
        <w:t>πάροχο</w:t>
      </w:r>
      <w:proofErr w:type="spellEnd"/>
      <w:r w:rsidRPr="004F5C0B">
        <w:rPr>
          <w:color w:val="222222"/>
          <w:sz w:val="28"/>
          <w:szCs w:val="28"/>
        </w:rPr>
        <w:t xml:space="preserve"> στην κάθε κατηγορία.</w:t>
      </w:r>
    </w:p>
    <w:p w:rsidR="000B2578" w:rsidRPr="004F5C0B" w:rsidRDefault="000B2578" w:rsidP="004F5C0B">
      <w:pPr>
        <w:shd w:val="clear" w:color="auto" w:fill="FFFFFF"/>
        <w:rPr>
          <w:color w:val="222222"/>
        </w:rPr>
      </w:pP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Ο τρόπος εφαρμογής του αποτυπώνεται στην ανακοίνωση του ΕΟΠΥΥ μ</w:t>
      </w:r>
      <w:r w:rsidR="000B2578">
        <w:rPr>
          <w:color w:val="222222"/>
          <w:sz w:val="28"/>
          <w:szCs w:val="28"/>
        </w:rPr>
        <w:t xml:space="preserve">ε </w:t>
      </w:r>
      <w:proofErr w:type="spellStart"/>
      <w:r w:rsidR="000B2578">
        <w:rPr>
          <w:color w:val="222222"/>
          <w:sz w:val="28"/>
          <w:szCs w:val="28"/>
        </w:rPr>
        <w:t>αρ.πρωτ</w:t>
      </w:r>
      <w:proofErr w:type="spellEnd"/>
      <w:r w:rsidR="000B2578">
        <w:rPr>
          <w:color w:val="222222"/>
          <w:sz w:val="28"/>
          <w:szCs w:val="28"/>
        </w:rPr>
        <w:t xml:space="preserve">. 22782 από 18/09/2024 από τον οποίο περιμένουμε και περαιτέρω διευκρινιστικές ανακοινώσεις. </w:t>
      </w:r>
    </w:p>
    <w:p w:rsidR="004F5C0B" w:rsidRPr="004F5C0B" w:rsidRDefault="004F5C0B" w:rsidP="004F5C0B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</w:p>
    <w:p w:rsidR="00381424" w:rsidRPr="0051085F" w:rsidRDefault="004F5C0B" w:rsidP="0051085F">
      <w:pPr>
        <w:shd w:val="clear" w:color="auto" w:fill="FFFFFF"/>
        <w:rPr>
          <w:color w:val="222222"/>
        </w:rPr>
      </w:pPr>
      <w:r w:rsidRPr="004F5C0B">
        <w:rPr>
          <w:color w:val="222222"/>
          <w:sz w:val="28"/>
          <w:szCs w:val="28"/>
        </w:rPr>
        <w:t> </w:t>
      </w:r>
      <w:bookmarkStart w:id="0" w:name="_GoBack"/>
      <w:bookmarkEnd w:id="0"/>
    </w:p>
    <w:p w:rsidR="00381424" w:rsidRPr="00381424" w:rsidRDefault="00381424" w:rsidP="00E55E10">
      <w:pPr>
        <w:rPr>
          <w:rFonts w:ascii="Tahoma" w:hAnsi="Tahoma" w:cs="Tahoma"/>
        </w:rPr>
      </w:pPr>
    </w:p>
    <w:p w:rsidR="00967DAF" w:rsidRPr="00BA144C" w:rsidRDefault="00967DAF" w:rsidP="00A30239">
      <w:pPr>
        <w:jc w:val="center"/>
        <w:rPr>
          <w:rFonts w:ascii="Tahoma" w:hAnsi="Tahoma" w:cs="Tahoma"/>
        </w:rPr>
      </w:pPr>
    </w:p>
    <w:p w:rsidR="00CD4AB0" w:rsidRDefault="00CD4AB0" w:rsidP="0026583A">
      <w:pPr>
        <w:jc w:val="both"/>
        <w:rPr>
          <w:rFonts w:ascii="Tahoma" w:hAnsi="Tahoma" w:cs="Tahoma"/>
        </w:rPr>
      </w:pPr>
    </w:p>
    <w:p w:rsidR="00FE233E" w:rsidRPr="00802E52" w:rsidRDefault="00FE233E" w:rsidP="00153305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ΠΡΟΕΔΡΟΣ ΠΟΣΚΕ                                                                Ο ΠΡΟΕΔΡΟΣ ΠΟΣΙΠΥ</w:t>
      </w: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Default="00FE233E" w:rsidP="00153305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51085F" w:rsidRPr="00802E52" w:rsidRDefault="0051085F" w:rsidP="00153305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802E52" w:rsidRDefault="00FE233E" w:rsidP="00153305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Default="00FE233E" w:rsidP="00FE233E">
      <w:pPr>
        <w:jc w:val="center"/>
        <w:rPr>
          <w:rFonts w:ascii="Tahoma" w:hAnsi="Tahoma" w:cs="Tahoma"/>
          <w:b/>
        </w:rPr>
      </w:pPr>
    </w:p>
    <w:p w:rsidR="0051085F" w:rsidRPr="00802E52" w:rsidRDefault="0051085F" w:rsidP="00FE233E">
      <w:pPr>
        <w:jc w:val="center"/>
        <w:rPr>
          <w:rFonts w:ascii="Tahoma" w:hAnsi="Tahoma" w:cs="Tahoma"/>
          <w:b/>
        </w:rPr>
      </w:pPr>
    </w:p>
    <w:p w:rsidR="00FE233E" w:rsidRPr="00802E52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802E52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153305" w:rsidRPr="00F36A87" w:rsidRDefault="00F36A87" w:rsidP="00F36A87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sectPr w:rsidR="00153305" w:rsidRPr="00F36A87" w:rsidSect="00655819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97" w:rsidRDefault="00015097" w:rsidP="005C542F">
      <w:r>
        <w:separator/>
      </w:r>
    </w:p>
  </w:endnote>
  <w:endnote w:type="continuationSeparator" w:id="0">
    <w:p w:rsidR="00015097" w:rsidRDefault="00015097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97" w:rsidRDefault="00015097" w:rsidP="005C542F">
      <w:r>
        <w:separator/>
      </w:r>
    </w:p>
  </w:footnote>
  <w:footnote w:type="continuationSeparator" w:id="0">
    <w:p w:rsidR="00015097" w:rsidRDefault="00015097" w:rsidP="005C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097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35FC1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4EBE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97C46"/>
    <w:rsid w:val="000A0A5C"/>
    <w:rsid w:val="000A192C"/>
    <w:rsid w:val="000A3313"/>
    <w:rsid w:val="000A3AEC"/>
    <w:rsid w:val="000A5B59"/>
    <w:rsid w:val="000A63B5"/>
    <w:rsid w:val="000B024B"/>
    <w:rsid w:val="000B09C8"/>
    <w:rsid w:val="000B1853"/>
    <w:rsid w:val="000B20C4"/>
    <w:rsid w:val="000B2578"/>
    <w:rsid w:val="000B27FA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71E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090B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305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D95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2EA1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07EF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2D4"/>
    <w:rsid w:val="002054A5"/>
    <w:rsid w:val="00205555"/>
    <w:rsid w:val="002066AB"/>
    <w:rsid w:val="00206A0E"/>
    <w:rsid w:val="00206F56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583A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3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0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1424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0D3"/>
    <w:rsid w:val="003B064F"/>
    <w:rsid w:val="003B06B2"/>
    <w:rsid w:val="003B1AE6"/>
    <w:rsid w:val="003B3920"/>
    <w:rsid w:val="003B3C0D"/>
    <w:rsid w:val="003B3E86"/>
    <w:rsid w:val="003B63A9"/>
    <w:rsid w:val="003B6D63"/>
    <w:rsid w:val="003C0442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1416"/>
    <w:rsid w:val="003E43AD"/>
    <w:rsid w:val="003E5842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86711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4FCC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5C0B"/>
    <w:rsid w:val="004F67B1"/>
    <w:rsid w:val="004F7B0A"/>
    <w:rsid w:val="005024B4"/>
    <w:rsid w:val="00503511"/>
    <w:rsid w:val="00504B0A"/>
    <w:rsid w:val="0050543F"/>
    <w:rsid w:val="00505507"/>
    <w:rsid w:val="005058FF"/>
    <w:rsid w:val="00505949"/>
    <w:rsid w:val="00506EAD"/>
    <w:rsid w:val="005076F7"/>
    <w:rsid w:val="0051085F"/>
    <w:rsid w:val="00511818"/>
    <w:rsid w:val="0051257E"/>
    <w:rsid w:val="00512801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6980"/>
    <w:rsid w:val="0055713D"/>
    <w:rsid w:val="00557140"/>
    <w:rsid w:val="00557A42"/>
    <w:rsid w:val="00560F33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3AE2"/>
    <w:rsid w:val="005763C2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2C75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1439"/>
    <w:rsid w:val="00662506"/>
    <w:rsid w:val="006632D2"/>
    <w:rsid w:val="00663422"/>
    <w:rsid w:val="00663641"/>
    <w:rsid w:val="00663675"/>
    <w:rsid w:val="0066412E"/>
    <w:rsid w:val="0066494B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3B59"/>
    <w:rsid w:val="00684F89"/>
    <w:rsid w:val="0068510A"/>
    <w:rsid w:val="006855F8"/>
    <w:rsid w:val="006856B7"/>
    <w:rsid w:val="00686530"/>
    <w:rsid w:val="00687398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4BBE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4F58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3D35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5A19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840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700FB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59E7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6599"/>
    <w:rsid w:val="007D78FD"/>
    <w:rsid w:val="007E0570"/>
    <w:rsid w:val="007E09B1"/>
    <w:rsid w:val="007E1CBC"/>
    <w:rsid w:val="007E27DE"/>
    <w:rsid w:val="007E31F2"/>
    <w:rsid w:val="007E3636"/>
    <w:rsid w:val="007E4160"/>
    <w:rsid w:val="007E4A79"/>
    <w:rsid w:val="007E67FD"/>
    <w:rsid w:val="007E78A2"/>
    <w:rsid w:val="007F17D9"/>
    <w:rsid w:val="007F1835"/>
    <w:rsid w:val="007F212B"/>
    <w:rsid w:val="007F2A2D"/>
    <w:rsid w:val="007F3998"/>
    <w:rsid w:val="007F49E0"/>
    <w:rsid w:val="007F7007"/>
    <w:rsid w:val="007F72A1"/>
    <w:rsid w:val="00800211"/>
    <w:rsid w:val="00802BEE"/>
    <w:rsid w:val="00802E52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4E7B"/>
    <w:rsid w:val="00856E25"/>
    <w:rsid w:val="008621A9"/>
    <w:rsid w:val="008638E3"/>
    <w:rsid w:val="00865F94"/>
    <w:rsid w:val="00867166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7781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5C0E"/>
    <w:rsid w:val="00895E2E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0E07"/>
    <w:rsid w:val="00931668"/>
    <w:rsid w:val="00931856"/>
    <w:rsid w:val="00931924"/>
    <w:rsid w:val="00931EF2"/>
    <w:rsid w:val="009323F3"/>
    <w:rsid w:val="00937B87"/>
    <w:rsid w:val="009409DB"/>
    <w:rsid w:val="00940CD7"/>
    <w:rsid w:val="00942349"/>
    <w:rsid w:val="0094297C"/>
    <w:rsid w:val="009446AA"/>
    <w:rsid w:val="00944B3F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67DAF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777E8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B99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611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5D54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5C1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513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565"/>
    <w:rsid w:val="00B37B0F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1FD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989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144C"/>
    <w:rsid w:val="00BA3086"/>
    <w:rsid w:val="00BA3D04"/>
    <w:rsid w:val="00BA5572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2D53"/>
    <w:rsid w:val="00BD5013"/>
    <w:rsid w:val="00BD64B7"/>
    <w:rsid w:val="00BE0010"/>
    <w:rsid w:val="00BE04EC"/>
    <w:rsid w:val="00BE0871"/>
    <w:rsid w:val="00BE1179"/>
    <w:rsid w:val="00BE2FB1"/>
    <w:rsid w:val="00BE370E"/>
    <w:rsid w:val="00BE3DD9"/>
    <w:rsid w:val="00BE43B4"/>
    <w:rsid w:val="00BE4CC7"/>
    <w:rsid w:val="00BE57BA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3B74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2E93"/>
    <w:rsid w:val="00C34133"/>
    <w:rsid w:val="00C351FF"/>
    <w:rsid w:val="00C35480"/>
    <w:rsid w:val="00C35D69"/>
    <w:rsid w:val="00C36619"/>
    <w:rsid w:val="00C37A12"/>
    <w:rsid w:val="00C416C0"/>
    <w:rsid w:val="00C418CF"/>
    <w:rsid w:val="00C42E90"/>
    <w:rsid w:val="00C439A1"/>
    <w:rsid w:val="00C47337"/>
    <w:rsid w:val="00C47B82"/>
    <w:rsid w:val="00C539D0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359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5D89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C7DA7"/>
    <w:rsid w:val="00CD1339"/>
    <w:rsid w:val="00CD2486"/>
    <w:rsid w:val="00CD3219"/>
    <w:rsid w:val="00CD33C9"/>
    <w:rsid w:val="00CD4AB0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432E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49B0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19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8CA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793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5E10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3848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62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8EB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A87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0774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2EAA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418C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D7B7-5A69-4B77-B53B-5E3F8B37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3</cp:revision>
  <cp:lastPrinted>2022-06-01T15:53:00Z</cp:lastPrinted>
  <dcterms:created xsi:type="dcterms:W3CDTF">2024-09-23T07:23:00Z</dcterms:created>
  <dcterms:modified xsi:type="dcterms:W3CDTF">2024-09-23T07:23:00Z</dcterms:modified>
</cp:coreProperties>
</file>